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8C" w:rsidRPr="00A20AA0" w:rsidRDefault="00993F8C" w:rsidP="00993F8C">
      <w:pPr>
        <w:pStyle w:val="Sinespaciad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A20AA0">
        <w:rPr>
          <w:rFonts w:ascii="Arial" w:hAnsi="Arial" w:cs="Arial"/>
          <w:b/>
          <w:sz w:val="22"/>
          <w:szCs w:val="22"/>
          <w:lang w:val="es-CO"/>
        </w:rPr>
        <w:t>Recordemos aspectos de la legislación en los procesos de inducción en salud Ocupacional.</w:t>
      </w:r>
    </w:p>
    <w:p w:rsidR="00993F8C" w:rsidRPr="00A20AA0" w:rsidRDefault="00993F8C" w:rsidP="00993F8C">
      <w:pPr>
        <w:pStyle w:val="Sinespaciad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993F8C" w:rsidRPr="00A20AA0" w:rsidRDefault="00993F8C" w:rsidP="00993F8C">
      <w:pPr>
        <w:pStyle w:val="Sinespaciado"/>
        <w:tabs>
          <w:tab w:val="left" w:pos="2805"/>
          <w:tab w:val="center" w:pos="4419"/>
        </w:tabs>
        <w:rPr>
          <w:rFonts w:ascii="Arial" w:hAnsi="Arial" w:cs="Arial"/>
          <w:b/>
          <w:sz w:val="22"/>
          <w:szCs w:val="22"/>
          <w:lang w:val="es-CO"/>
        </w:rPr>
      </w:pPr>
      <w:r w:rsidRPr="00A20AA0">
        <w:rPr>
          <w:rFonts w:ascii="Arial" w:hAnsi="Arial" w:cs="Arial"/>
          <w:b/>
          <w:sz w:val="22"/>
          <w:szCs w:val="22"/>
          <w:lang w:val="es-CO"/>
        </w:rPr>
        <w:t>DECRETO 1295 DEL 2004</w:t>
      </w:r>
    </w:p>
    <w:p w:rsidR="00993F8C" w:rsidRPr="00A20AA0" w:rsidRDefault="00993F8C" w:rsidP="00993F8C">
      <w:pPr>
        <w:pStyle w:val="Sinespaciad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sz w:val="22"/>
          <w:szCs w:val="22"/>
          <w:lang w:val="es-CO"/>
        </w:rPr>
        <w:t>ARTICULO 62. “OBLIGATORIEDAD DE LOS EMPLEADORES. Informar a los trabajadores propios o contratados, sobre los riesgos a que se exponen durante el desarrollo de sus labores”.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sz w:val="22"/>
          <w:szCs w:val="22"/>
          <w:lang w:val="es-CO"/>
        </w:rPr>
        <w:t>ARTICULO 22. OBLIGACIONES DE LOS TRABAJADORES. Son deberes de los trabajadores: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sz w:val="22"/>
          <w:szCs w:val="22"/>
          <w:lang w:val="es-CO"/>
        </w:rPr>
        <w:t>Cumplir las normas, reglamentos e instrucciones de los programas de salud ocupacional de la empresa.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</w:p>
    <w:p w:rsidR="00993F8C" w:rsidRPr="00A20AA0" w:rsidRDefault="00993F8C" w:rsidP="00993F8C">
      <w:pPr>
        <w:pStyle w:val="Sinespaciado"/>
        <w:rPr>
          <w:rFonts w:ascii="Arial" w:hAnsi="Arial" w:cs="Arial"/>
          <w:b/>
          <w:sz w:val="22"/>
          <w:szCs w:val="22"/>
          <w:lang w:val="es-CO"/>
        </w:rPr>
      </w:pPr>
      <w:r w:rsidRPr="00A20AA0">
        <w:rPr>
          <w:rFonts w:ascii="Arial" w:hAnsi="Arial" w:cs="Arial"/>
          <w:b/>
          <w:sz w:val="22"/>
          <w:szCs w:val="22"/>
          <w:lang w:val="es-CO"/>
        </w:rPr>
        <w:t>- DECRETO 2646 DE 2008 ARTÍCULO 13.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sz w:val="22"/>
          <w:szCs w:val="22"/>
          <w:lang w:val="es-CO"/>
        </w:rPr>
        <w:t>“Facilitar inducción, capacitación, entrenamiento que faciliten el conocimiento y motivación de los trabajadores sobre los FR que afecten su salud y bienestar” ARP SURA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sz w:val="22"/>
          <w:szCs w:val="22"/>
          <w:lang w:val="es-CO"/>
        </w:rPr>
        <w:t>En general estas son las principales causas.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sz w:val="22"/>
          <w:szCs w:val="22"/>
          <w:lang w:val="es-CO"/>
        </w:rPr>
        <w:t>Conocimiento y fomento de cultura de seguridad ARP SURA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sz w:val="22"/>
          <w:szCs w:val="22"/>
          <w:lang w:val="es-CO"/>
        </w:rPr>
        <w:t>Factores que nos llevan a pensar que revisemos los procesos de inducción.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b/>
          <w:sz w:val="22"/>
          <w:szCs w:val="22"/>
          <w:lang w:val="es-CO"/>
        </w:rPr>
        <w:t>1</w:t>
      </w:r>
      <w:r w:rsidRPr="00A20AA0">
        <w:rPr>
          <w:rFonts w:ascii="Arial" w:hAnsi="Arial" w:cs="Arial"/>
          <w:sz w:val="22"/>
          <w:szCs w:val="22"/>
          <w:lang w:val="es-CO"/>
        </w:rPr>
        <w:t>. Existe una crisis de empleabilidad que hace que contratemos personal con poca experiencia.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b/>
          <w:sz w:val="22"/>
          <w:szCs w:val="22"/>
          <w:lang w:val="es-CO"/>
        </w:rPr>
        <w:t>2.</w:t>
      </w:r>
      <w:r w:rsidRPr="00A20AA0">
        <w:rPr>
          <w:rFonts w:ascii="Arial" w:hAnsi="Arial" w:cs="Arial"/>
          <w:sz w:val="22"/>
          <w:szCs w:val="22"/>
          <w:lang w:val="es-CO"/>
        </w:rPr>
        <w:t xml:space="preserve"> Existe una brecha entre la definición del perfil ocupacional, técnico, físico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proofErr w:type="gramStart"/>
      <w:r w:rsidRPr="00A20AA0">
        <w:rPr>
          <w:rFonts w:ascii="Arial" w:hAnsi="Arial" w:cs="Arial"/>
          <w:sz w:val="22"/>
          <w:szCs w:val="22"/>
          <w:lang w:val="es-CO"/>
        </w:rPr>
        <w:t>y</w:t>
      </w:r>
      <w:proofErr w:type="gramEnd"/>
      <w:r w:rsidRPr="00A20AA0">
        <w:rPr>
          <w:rFonts w:ascii="Arial" w:hAnsi="Arial" w:cs="Arial"/>
          <w:sz w:val="22"/>
          <w:szCs w:val="22"/>
          <w:lang w:val="es-CO"/>
        </w:rPr>
        <w:t xml:space="preserve"> de seguridad para cada puesto y la contratación real del trabajador.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b/>
          <w:sz w:val="22"/>
          <w:szCs w:val="22"/>
          <w:lang w:val="es-CO"/>
        </w:rPr>
        <w:t>3.</w:t>
      </w:r>
      <w:r w:rsidRPr="00A20AA0">
        <w:rPr>
          <w:rFonts w:ascii="Arial" w:hAnsi="Arial" w:cs="Arial"/>
          <w:sz w:val="22"/>
          <w:szCs w:val="22"/>
          <w:lang w:val="es-CO"/>
        </w:rPr>
        <w:t xml:space="preserve"> Los procesos de selección se centran menos en el conocimiento técnico.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b/>
          <w:sz w:val="22"/>
          <w:szCs w:val="22"/>
          <w:lang w:val="es-CO"/>
        </w:rPr>
        <w:t>4.</w:t>
      </w:r>
      <w:r w:rsidRPr="00A20AA0">
        <w:rPr>
          <w:rFonts w:ascii="Arial" w:hAnsi="Arial" w:cs="Arial"/>
          <w:sz w:val="22"/>
          <w:szCs w:val="22"/>
          <w:lang w:val="es-CO"/>
        </w:rPr>
        <w:t xml:space="preserve"> Damos por hecho que las personas conocen los procesos productivos e invertimos menos tiempo y recursos en las inducciones.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b/>
          <w:sz w:val="22"/>
          <w:szCs w:val="22"/>
          <w:lang w:val="es-CO"/>
        </w:rPr>
        <w:t>5.</w:t>
      </w:r>
      <w:r w:rsidRPr="00A20AA0">
        <w:rPr>
          <w:rFonts w:ascii="Arial" w:hAnsi="Arial" w:cs="Arial"/>
          <w:sz w:val="22"/>
          <w:szCs w:val="22"/>
          <w:lang w:val="es-CO"/>
        </w:rPr>
        <w:t xml:space="preserve"> Dejamos que las herramientas de formación logren por si solas procesos de aprendizaje, motivación y aplicación de funciones.ARP SURA</w:t>
      </w:r>
    </w:p>
    <w:p w:rsidR="00A20AA0" w:rsidRPr="00A20AA0" w:rsidRDefault="00A20AA0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</w:p>
    <w:p w:rsidR="00993F8C" w:rsidRPr="00A20AA0" w:rsidRDefault="00993F8C" w:rsidP="00993F8C">
      <w:pPr>
        <w:pStyle w:val="Sinespaciado"/>
        <w:rPr>
          <w:rFonts w:ascii="Arial" w:hAnsi="Arial" w:cs="Arial"/>
          <w:b/>
          <w:sz w:val="22"/>
          <w:szCs w:val="22"/>
          <w:lang w:val="es-CO"/>
        </w:rPr>
      </w:pPr>
      <w:r w:rsidRPr="00A20AA0">
        <w:rPr>
          <w:rFonts w:ascii="Arial" w:hAnsi="Arial" w:cs="Arial"/>
          <w:b/>
          <w:sz w:val="22"/>
          <w:szCs w:val="22"/>
          <w:lang w:val="es-CO"/>
        </w:rPr>
        <w:t>Qué podemos hacer</w:t>
      </w:r>
      <w:proofErr w:type="gramStart"/>
      <w:r w:rsidRPr="00A20AA0">
        <w:rPr>
          <w:rFonts w:ascii="Arial" w:hAnsi="Arial" w:cs="Arial"/>
          <w:b/>
          <w:sz w:val="22"/>
          <w:szCs w:val="22"/>
          <w:lang w:val="es-CO"/>
        </w:rPr>
        <w:t>?</w:t>
      </w:r>
      <w:proofErr w:type="gramEnd"/>
      <w:r w:rsidRPr="00A20AA0">
        <w:rPr>
          <w:rFonts w:ascii="Arial" w:hAnsi="Arial" w:cs="Arial"/>
          <w:b/>
          <w:sz w:val="22"/>
          <w:szCs w:val="22"/>
          <w:lang w:val="es-CO"/>
        </w:rPr>
        <w:t xml:space="preserve"> ARP SURA</w:t>
      </w:r>
    </w:p>
    <w:p w:rsidR="00A20AA0" w:rsidRPr="00A20AA0" w:rsidRDefault="00A20AA0" w:rsidP="00993F8C">
      <w:pPr>
        <w:pStyle w:val="Sinespaciado"/>
        <w:rPr>
          <w:rFonts w:ascii="Arial" w:hAnsi="Arial" w:cs="Arial"/>
          <w:b/>
          <w:sz w:val="22"/>
          <w:szCs w:val="22"/>
          <w:lang w:val="es-CO"/>
        </w:rPr>
      </w:pP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b/>
          <w:sz w:val="22"/>
          <w:szCs w:val="22"/>
          <w:lang w:val="es-CO"/>
        </w:rPr>
        <w:t>1.</w:t>
      </w:r>
      <w:r w:rsidRPr="00A20AA0">
        <w:rPr>
          <w:rFonts w:ascii="Arial" w:hAnsi="Arial" w:cs="Arial"/>
          <w:sz w:val="22"/>
          <w:szCs w:val="22"/>
          <w:lang w:val="es-CO"/>
        </w:rPr>
        <w:t xml:space="preserve"> Mejorar las condiciones inseguras en el entorno.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b/>
          <w:sz w:val="22"/>
          <w:szCs w:val="22"/>
          <w:lang w:val="es-CO"/>
        </w:rPr>
        <w:t>2</w:t>
      </w:r>
      <w:r w:rsidRPr="00A20AA0">
        <w:rPr>
          <w:rFonts w:ascii="Arial" w:hAnsi="Arial" w:cs="Arial"/>
          <w:sz w:val="22"/>
          <w:szCs w:val="22"/>
          <w:lang w:val="es-CO"/>
        </w:rPr>
        <w:t>. Estandarizar los procesos productivos.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sz w:val="22"/>
          <w:szCs w:val="22"/>
          <w:lang w:val="es-CO"/>
        </w:rPr>
        <w:t xml:space="preserve"> Procesos claros, concisos y entendibles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sz w:val="22"/>
          <w:szCs w:val="22"/>
          <w:lang w:val="es-CO"/>
        </w:rPr>
        <w:t xml:space="preserve"> Seguimiento al trabajador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</w:p>
    <w:p w:rsidR="00993F8C" w:rsidRPr="00A20AA0" w:rsidRDefault="00993F8C" w:rsidP="00993F8C">
      <w:pPr>
        <w:pStyle w:val="Sinespaciado"/>
        <w:rPr>
          <w:rFonts w:ascii="Arial" w:hAnsi="Arial" w:cs="Arial"/>
          <w:b/>
          <w:sz w:val="22"/>
          <w:szCs w:val="22"/>
          <w:lang w:val="es-CO"/>
        </w:rPr>
      </w:pPr>
      <w:r w:rsidRPr="00A20AA0">
        <w:rPr>
          <w:rFonts w:ascii="Arial" w:hAnsi="Arial" w:cs="Arial"/>
          <w:b/>
          <w:sz w:val="22"/>
          <w:szCs w:val="22"/>
          <w:lang w:val="es-CO"/>
        </w:rPr>
        <w:t>Condiciones de seguridad</w:t>
      </w:r>
    </w:p>
    <w:p w:rsidR="00993F8C" w:rsidRPr="00A20AA0" w:rsidRDefault="00993F8C" w:rsidP="00993F8C">
      <w:pPr>
        <w:pStyle w:val="Sinespaciado"/>
        <w:rPr>
          <w:rFonts w:ascii="Arial" w:hAnsi="Arial" w:cs="Arial"/>
          <w:b/>
          <w:sz w:val="22"/>
          <w:szCs w:val="22"/>
          <w:lang w:val="es-CO"/>
        </w:rPr>
      </w:pP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sz w:val="22"/>
          <w:szCs w:val="22"/>
          <w:lang w:val="es-CO"/>
        </w:rPr>
        <w:t>Evitar errores, y accidentes.ARP SURA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</w:p>
    <w:p w:rsidR="00993F8C" w:rsidRPr="00A20AA0" w:rsidRDefault="00993F8C" w:rsidP="00993F8C">
      <w:pPr>
        <w:pStyle w:val="Sinespaciado"/>
        <w:rPr>
          <w:rFonts w:ascii="Arial" w:hAnsi="Arial" w:cs="Arial"/>
          <w:b/>
          <w:sz w:val="22"/>
          <w:szCs w:val="22"/>
          <w:lang w:val="es-CO"/>
        </w:rPr>
      </w:pPr>
      <w:r w:rsidRPr="00A20AA0">
        <w:rPr>
          <w:rFonts w:ascii="Arial" w:hAnsi="Arial" w:cs="Arial"/>
          <w:b/>
          <w:sz w:val="22"/>
          <w:szCs w:val="22"/>
          <w:lang w:val="es-CO"/>
        </w:rPr>
        <w:t>Condiciones humanas</w:t>
      </w:r>
    </w:p>
    <w:p w:rsidR="00993F8C" w:rsidRPr="00A20AA0" w:rsidRDefault="00993F8C" w:rsidP="00993F8C">
      <w:pPr>
        <w:pStyle w:val="Sinespaciado"/>
        <w:rPr>
          <w:rFonts w:ascii="Arial" w:hAnsi="Arial" w:cs="Arial"/>
          <w:b/>
          <w:sz w:val="22"/>
          <w:szCs w:val="22"/>
          <w:lang w:val="es-CO"/>
        </w:rPr>
      </w:pP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sz w:val="22"/>
          <w:szCs w:val="22"/>
          <w:lang w:val="es-CO"/>
        </w:rPr>
        <w:t>Algunas características del perfil del talento humano en Colombia.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sz w:val="22"/>
          <w:szCs w:val="22"/>
          <w:lang w:val="es-CO"/>
        </w:rPr>
        <w:t>•Manejo de situaciones de crisis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sz w:val="22"/>
          <w:szCs w:val="22"/>
          <w:lang w:val="es-CO"/>
        </w:rPr>
        <w:t>•Adaptación con rapidez al entorno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sz w:val="22"/>
          <w:szCs w:val="22"/>
          <w:lang w:val="es-CO"/>
        </w:rPr>
        <w:t>•Creatividad y recursividad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sz w:val="22"/>
          <w:szCs w:val="22"/>
          <w:lang w:val="es-CO"/>
        </w:rPr>
        <w:t>•Administración de recursos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sz w:val="22"/>
          <w:szCs w:val="22"/>
          <w:lang w:val="es-CO"/>
        </w:rPr>
        <w:t>•Flexibilidad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sz w:val="22"/>
          <w:szCs w:val="22"/>
          <w:lang w:val="es-CO"/>
        </w:rPr>
        <w:t>•Cada vez prefieren trabajos que brinden ambientes de trabajo seguros ARP SURA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b/>
          <w:sz w:val="22"/>
          <w:szCs w:val="22"/>
          <w:lang w:val="es-CO"/>
        </w:rPr>
        <w:t>1</w:t>
      </w:r>
      <w:r w:rsidRPr="00A20AA0">
        <w:rPr>
          <w:rFonts w:ascii="Arial" w:hAnsi="Arial" w:cs="Arial"/>
          <w:sz w:val="22"/>
          <w:szCs w:val="22"/>
          <w:lang w:val="es-CO"/>
        </w:rPr>
        <w:t>. Educar en cultura del cuidado iniciando con lo fundamental: LA INDUCCIÓN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sz w:val="22"/>
          <w:szCs w:val="22"/>
          <w:lang w:val="es-CO"/>
        </w:rPr>
        <w:t xml:space="preserve"> Conocimiento técnico de los cargos y procedimientos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sz w:val="22"/>
          <w:szCs w:val="22"/>
          <w:lang w:val="es-CO"/>
        </w:rPr>
        <w:t xml:space="preserve"> Actualizar los procesos y asegurar su comprensión a través de procesos de entrenamiento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sz w:val="22"/>
          <w:szCs w:val="22"/>
          <w:lang w:val="es-CO"/>
        </w:rPr>
        <w:t xml:space="preserve"> Retroalimentación en el comportamiento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sz w:val="22"/>
          <w:szCs w:val="22"/>
          <w:lang w:val="es-CO"/>
        </w:rPr>
        <w:t xml:space="preserve"> Fomento del auto cuidado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</w:p>
    <w:p w:rsidR="00993F8C" w:rsidRPr="00A20AA0" w:rsidRDefault="00993F8C" w:rsidP="00993F8C">
      <w:pPr>
        <w:pStyle w:val="Sinespaciado"/>
        <w:rPr>
          <w:rFonts w:ascii="Arial" w:hAnsi="Arial" w:cs="Arial"/>
          <w:b/>
          <w:sz w:val="22"/>
          <w:szCs w:val="22"/>
          <w:lang w:val="es-CO"/>
        </w:rPr>
      </w:pPr>
      <w:r w:rsidRPr="00A20AA0">
        <w:rPr>
          <w:rFonts w:ascii="Arial" w:hAnsi="Arial" w:cs="Arial"/>
          <w:b/>
          <w:sz w:val="22"/>
          <w:szCs w:val="22"/>
          <w:lang w:val="es-CO"/>
        </w:rPr>
        <w:t>Condiciones humanas ARP SURA</w:t>
      </w:r>
    </w:p>
    <w:p w:rsidR="00993F8C" w:rsidRPr="00A20AA0" w:rsidRDefault="00993F8C" w:rsidP="00993F8C">
      <w:pPr>
        <w:pStyle w:val="Sinespaciado"/>
        <w:rPr>
          <w:rFonts w:ascii="Arial" w:hAnsi="Arial" w:cs="Arial"/>
          <w:b/>
          <w:sz w:val="22"/>
          <w:szCs w:val="22"/>
          <w:lang w:val="es-CO"/>
        </w:rPr>
      </w:pP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sz w:val="22"/>
          <w:szCs w:val="22"/>
          <w:lang w:val="es-CO"/>
        </w:rPr>
        <w:t>Controlar los procesos y el medio (personal encargado) a través de procesos de inducción, divulgación y participación.</w:t>
      </w:r>
    </w:p>
    <w:p w:rsidR="00993F8C" w:rsidRPr="00A20AA0" w:rsidRDefault="00993F8C" w:rsidP="00993F8C">
      <w:pPr>
        <w:pStyle w:val="Sinespaciado"/>
        <w:ind w:left="720"/>
        <w:rPr>
          <w:rFonts w:ascii="Arial" w:hAnsi="Arial" w:cs="Arial"/>
          <w:sz w:val="22"/>
          <w:szCs w:val="22"/>
          <w:lang w:val="es-CO"/>
        </w:rPr>
      </w:pPr>
    </w:p>
    <w:p w:rsidR="00993F8C" w:rsidRPr="00A20AA0" w:rsidRDefault="00993F8C" w:rsidP="00993F8C">
      <w:pPr>
        <w:pStyle w:val="Sinespaciado"/>
        <w:rPr>
          <w:rFonts w:ascii="Arial" w:hAnsi="Arial" w:cs="Arial"/>
          <w:b/>
          <w:sz w:val="22"/>
          <w:szCs w:val="22"/>
          <w:lang w:val="es-CO"/>
        </w:rPr>
      </w:pPr>
      <w:r w:rsidRPr="00A20AA0">
        <w:rPr>
          <w:rFonts w:ascii="Arial" w:hAnsi="Arial" w:cs="Arial"/>
          <w:b/>
          <w:sz w:val="22"/>
          <w:szCs w:val="22"/>
          <w:lang w:val="es-CO"/>
        </w:rPr>
        <w:t>Condiciones de terceros ARP SURA</w:t>
      </w:r>
    </w:p>
    <w:p w:rsidR="00993F8C" w:rsidRPr="00A20AA0" w:rsidRDefault="00993F8C" w:rsidP="00993F8C">
      <w:pPr>
        <w:pStyle w:val="Sinespaciado"/>
        <w:rPr>
          <w:rFonts w:ascii="Arial" w:hAnsi="Arial" w:cs="Arial"/>
          <w:b/>
          <w:sz w:val="22"/>
          <w:szCs w:val="22"/>
          <w:lang w:val="es-CO"/>
        </w:rPr>
      </w:pP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b/>
          <w:sz w:val="22"/>
          <w:szCs w:val="22"/>
          <w:lang w:val="es-CO"/>
        </w:rPr>
        <w:t>1)</w:t>
      </w:r>
      <w:r w:rsidRPr="00A20AA0">
        <w:rPr>
          <w:rFonts w:ascii="Arial" w:hAnsi="Arial" w:cs="Arial"/>
          <w:sz w:val="22"/>
          <w:szCs w:val="22"/>
          <w:lang w:val="es-CO"/>
        </w:rPr>
        <w:t xml:space="preserve"> Definición del perfil ocupacional, técnico, físico y de seguridad para cada puesto.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b/>
          <w:sz w:val="22"/>
          <w:szCs w:val="22"/>
          <w:lang w:val="es-CO"/>
        </w:rPr>
        <w:t>2)</w:t>
      </w:r>
      <w:r w:rsidRPr="00A20AA0">
        <w:rPr>
          <w:rFonts w:ascii="Arial" w:hAnsi="Arial" w:cs="Arial"/>
          <w:sz w:val="22"/>
          <w:szCs w:val="22"/>
          <w:lang w:val="es-CO"/>
        </w:rPr>
        <w:t xml:space="preserve"> Proceso de inducción en riesgos, tanto los generales como los específicos al sitio de trabajo.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b/>
          <w:sz w:val="22"/>
          <w:szCs w:val="22"/>
          <w:lang w:val="es-CO"/>
        </w:rPr>
        <w:t>3)</w:t>
      </w:r>
      <w:r w:rsidRPr="00A20AA0">
        <w:rPr>
          <w:rFonts w:ascii="Arial" w:hAnsi="Arial" w:cs="Arial"/>
          <w:sz w:val="22"/>
          <w:szCs w:val="22"/>
          <w:lang w:val="es-CO"/>
        </w:rPr>
        <w:t xml:space="preserve"> Proceso de inducción técnico frente al oficio y las máquinas o equipos que se deberán operar.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b/>
          <w:sz w:val="22"/>
          <w:szCs w:val="22"/>
          <w:lang w:val="es-CO"/>
        </w:rPr>
        <w:t>4)</w:t>
      </w:r>
      <w:r w:rsidRPr="00A20AA0">
        <w:rPr>
          <w:rFonts w:ascii="Arial" w:hAnsi="Arial" w:cs="Arial"/>
          <w:sz w:val="22"/>
          <w:szCs w:val="22"/>
          <w:lang w:val="es-CO"/>
        </w:rPr>
        <w:t xml:space="preserve"> Suficiente acompañamiento en el puesto de trabajo.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b/>
          <w:sz w:val="22"/>
          <w:szCs w:val="22"/>
          <w:lang w:val="es-CO"/>
        </w:rPr>
        <w:t>5)</w:t>
      </w:r>
      <w:r w:rsidRPr="00A20AA0">
        <w:rPr>
          <w:rFonts w:ascii="Arial" w:hAnsi="Arial" w:cs="Arial"/>
          <w:sz w:val="22"/>
          <w:szCs w:val="22"/>
          <w:lang w:val="es-CO"/>
        </w:rPr>
        <w:t xml:space="preserve"> Cultura del cuidado.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</w:p>
    <w:p w:rsidR="00993F8C" w:rsidRPr="00A20AA0" w:rsidRDefault="00993F8C" w:rsidP="00993F8C">
      <w:pPr>
        <w:pStyle w:val="Sinespaciado"/>
        <w:rPr>
          <w:rFonts w:ascii="Arial" w:hAnsi="Arial" w:cs="Arial"/>
          <w:b/>
          <w:sz w:val="22"/>
          <w:szCs w:val="22"/>
          <w:lang w:val="es-CO"/>
        </w:rPr>
      </w:pPr>
      <w:r w:rsidRPr="00A20AA0">
        <w:rPr>
          <w:rFonts w:ascii="Arial" w:hAnsi="Arial" w:cs="Arial"/>
          <w:b/>
          <w:sz w:val="22"/>
          <w:szCs w:val="22"/>
          <w:lang w:val="es-CO"/>
        </w:rPr>
        <w:t>Condiciones administrativas ARP SURA Por que fortalecer los procesos de inducción en las organizaciones</w:t>
      </w:r>
      <w:proofErr w:type="gramStart"/>
      <w:r w:rsidRPr="00A20AA0">
        <w:rPr>
          <w:rFonts w:ascii="Arial" w:hAnsi="Arial" w:cs="Arial"/>
          <w:b/>
          <w:sz w:val="22"/>
          <w:szCs w:val="22"/>
          <w:lang w:val="es-CO"/>
        </w:rPr>
        <w:t>?</w:t>
      </w:r>
      <w:proofErr w:type="gramEnd"/>
    </w:p>
    <w:p w:rsidR="00993F8C" w:rsidRPr="00A20AA0" w:rsidRDefault="00993F8C" w:rsidP="00993F8C">
      <w:pPr>
        <w:pStyle w:val="Sinespaciado"/>
        <w:rPr>
          <w:rFonts w:ascii="Arial" w:hAnsi="Arial" w:cs="Arial"/>
          <w:b/>
          <w:sz w:val="22"/>
          <w:szCs w:val="22"/>
          <w:lang w:val="es-CO"/>
        </w:rPr>
      </w:pP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sz w:val="22"/>
          <w:szCs w:val="22"/>
          <w:lang w:val="es-CO"/>
        </w:rPr>
        <w:t>• Financieros: Una rotación de personal innecesaria aumenta los costos de reclutamiento.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sz w:val="22"/>
          <w:szCs w:val="22"/>
          <w:lang w:val="es-CO"/>
        </w:rPr>
        <w:t>• Motivacionales: El personal que vive procesos de inducción entiende más fácil el ciclo del negocio y se compromete con los resultados.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sz w:val="22"/>
          <w:szCs w:val="22"/>
          <w:lang w:val="es-CO"/>
        </w:rPr>
        <w:t>• Reputación: La inducción es la primera experiencia de un trabajador; es importante que a través de ella se logre una buena impresión de quién lo contrata.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sz w:val="22"/>
          <w:szCs w:val="22"/>
          <w:lang w:val="es-CO"/>
        </w:rPr>
        <w:t>• Vigilancia del ambiente externo: Los recién llegados nos indican cómo se observa la organización desde afuera.ARP SURA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sz w:val="22"/>
          <w:szCs w:val="22"/>
          <w:lang w:val="es-CO"/>
        </w:rPr>
        <w:t>• Influencia en el personal actual: La inducción tiene un efecto benéfico en el personal actual y más si son partícipes del proceso.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sz w:val="22"/>
          <w:szCs w:val="22"/>
          <w:lang w:val="es-CO"/>
        </w:rPr>
        <w:t>• Inclusión social: Le proporciona al trabajador mayores posibilidades de adaptación, identidad y pertenencia</w:t>
      </w:r>
    </w:p>
    <w:p w:rsidR="00993F8C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sz w:val="22"/>
          <w:szCs w:val="22"/>
          <w:lang w:val="es-CO"/>
        </w:rPr>
        <w:t>• Seguridad: Aumenta los niveles de satisfacción, equilibrio emocional y un gran margen de seguridad lo que será un abono vital para el ambiente laboral con el cual se integrará momentos después.</w:t>
      </w:r>
    </w:p>
    <w:p w:rsidR="00C36287" w:rsidRPr="00A20AA0" w:rsidRDefault="00993F8C" w:rsidP="00993F8C">
      <w:pPr>
        <w:pStyle w:val="Sinespaciado"/>
        <w:rPr>
          <w:rFonts w:ascii="Arial" w:hAnsi="Arial" w:cs="Arial"/>
          <w:sz w:val="22"/>
          <w:szCs w:val="22"/>
          <w:lang w:val="es-CO"/>
        </w:rPr>
      </w:pPr>
      <w:r w:rsidRPr="00A20AA0">
        <w:rPr>
          <w:rFonts w:ascii="Arial" w:hAnsi="Arial" w:cs="Arial"/>
          <w:sz w:val="22"/>
          <w:szCs w:val="22"/>
          <w:lang w:val="es-CO"/>
        </w:rPr>
        <w:t>• Efectividad: Las organizaciones logran realizar las cosas bien, cuando las personas hacen su trabajo efectivamente.</w:t>
      </w:r>
      <w:r w:rsidRPr="00A20AA0">
        <w:rPr>
          <w:rFonts w:ascii="Arial" w:hAnsi="Arial" w:cs="Arial"/>
          <w:sz w:val="22"/>
          <w:szCs w:val="22"/>
          <w:lang w:val="es-CO"/>
        </w:rPr>
        <w:cr/>
      </w:r>
    </w:p>
    <w:sectPr w:rsidR="00C36287" w:rsidRPr="00A20AA0" w:rsidSect="00C362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F589E"/>
    <w:multiLevelType w:val="hybridMultilevel"/>
    <w:tmpl w:val="B3EA8E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3F8C"/>
    <w:rsid w:val="00022121"/>
    <w:rsid w:val="009121E5"/>
    <w:rsid w:val="00993F8C"/>
    <w:rsid w:val="00A20AA0"/>
    <w:rsid w:val="00C36287"/>
    <w:rsid w:val="00D02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1E5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9121E5"/>
    <w:pPr>
      <w:pBdr>
        <w:top w:val="single" w:sz="24" w:space="0" w:color="FF388C" w:themeColor="accent1"/>
        <w:left w:val="single" w:sz="24" w:space="0" w:color="FF388C" w:themeColor="accent1"/>
        <w:bottom w:val="single" w:sz="24" w:space="0" w:color="FF388C" w:themeColor="accent1"/>
        <w:right w:val="single" w:sz="24" w:space="0" w:color="FF388C" w:themeColor="accent1"/>
      </w:pBdr>
      <w:shd w:val="clear" w:color="auto" w:fill="FF388C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21E5"/>
    <w:pPr>
      <w:pBdr>
        <w:top w:val="single" w:sz="24" w:space="0" w:color="FFD7E7" w:themeColor="accent1" w:themeTint="33"/>
        <w:left w:val="single" w:sz="24" w:space="0" w:color="FFD7E7" w:themeColor="accent1" w:themeTint="33"/>
        <w:bottom w:val="single" w:sz="24" w:space="0" w:color="FFD7E7" w:themeColor="accent1" w:themeTint="33"/>
        <w:right w:val="single" w:sz="24" w:space="0" w:color="FFD7E7" w:themeColor="accent1" w:themeTint="33"/>
      </w:pBdr>
      <w:shd w:val="clear" w:color="auto" w:fill="FFD7E7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1E5"/>
    <w:pPr>
      <w:pBdr>
        <w:top w:val="single" w:sz="6" w:space="2" w:color="FF388C" w:themeColor="accent1"/>
        <w:left w:val="single" w:sz="6" w:space="2" w:color="FF388C" w:themeColor="accent1"/>
      </w:pBdr>
      <w:spacing w:before="300" w:after="0"/>
      <w:outlineLvl w:val="2"/>
    </w:pPr>
    <w:rPr>
      <w:caps/>
      <w:color w:val="9A0040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21E5"/>
    <w:pPr>
      <w:pBdr>
        <w:top w:val="dotted" w:sz="6" w:space="2" w:color="FF388C" w:themeColor="accent1"/>
        <w:left w:val="dotted" w:sz="6" w:space="2" w:color="FF388C" w:themeColor="accent1"/>
      </w:pBdr>
      <w:spacing w:before="300" w:after="0"/>
      <w:outlineLvl w:val="3"/>
    </w:pPr>
    <w:rPr>
      <w:caps/>
      <w:color w:val="E80061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21E5"/>
    <w:pPr>
      <w:pBdr>
        <w:bottom w:val="single" w:sz="6" w:space="1" w:color="FF388C" w:themeColor="accent1"/>
      </w:pBdr>
      <w:spacing w:before="300" w:after="0"/>
      <w:outlineLvl w:val="4"/>
    </w:pPr>
    <w:rPr>
      <w:caps/>
      <w:color w:val="E80061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21E5"/>
    <w:pPr>
      <w:pBdr>
        <w:bottom w:val="dotted" w:sz="6" w:space="1" w:color="FF388C" w:themeColor="accent1"/>
      </w:pBdr>
      <w:spacing w:before="300" w:after="0"/>
      <w:outlineLvl w:val="5"/>
    </w:pPr>
    <w:rPr>
      <w:caps/>
      <w:color w:val="E80061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21E5"/>
    <w:pPr>
      <w:spacing w:before="300" w:after="0"/>
      <w:outlineLvl w:val="6"/>
    </w:pPr>
    <w:rPr>
      <w:caps/>
      <w:color w:val="E80061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21E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21E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21E5"/>
    <w:rPr>
      <w:b/>
      <w:bCs/>
      <w:caps/>
      <w:color w:val="FFFFFF" w:themeColor="background1"/>
      <w:spacing w:val="15"/>
      <w:shd w:val="clear" w:color="auto" w:fill="FF388C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21E5"/>
    <w:rPr>
      <w:caps/>
      <w:spacing w:val="15"/>
      <w:shd w:val="clear" w:color="auto" w:fill="FFD7E7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1E5"/>
    <w:rPr>
      <w:caps/>
      <w:color w:val="9A004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21E5"/>
    <w:rPr>
      <w:caps/>
      <w:color w:val="E80061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21E5"/>
    <w:rPr>
      <w:caps/>
      <w:color w:val="E8006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21E5"/>
    <w:rPr>
      <w:caps/>
      <w:color w:val="E8006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21E5"/>
    <w:rPr>
      <w:caps/>
      <w:color w:val="E8006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21E5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21E5"/>
    <w:rPr>
      <w:i/>
      <w:caps/>
      <w:spacing w:val="10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9121E5"/>
    <w:rPr>
      <w:b/>
      <w:bCs/>
      <w:color w:val="E80061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9121E5"/>
    <w:pPr>
      <w:spacing w:before="720"/>
    </w:pPr>
    <w:rPr>
      <w:caps/>
      <w:color w:val="FF388C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121E5"/>
    <w:rPr>
      <w:caps/>
      <w:color w:val="FF388C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1E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121E5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uiPriority w:val="22"/>
    <w:qFormat/>
    <w:rsid w:val="009121E5"/>
    <w:rPr>
      <w:b/>
      <w:bCs/>
    </w:rPr>
  </w:style>
  <w:style w:type="character" w:styleId="nfasis">
    <w:name w:val="Emphasis"/>
    <w:uiPriority w:val="20"/>
    <w:qFormat/>
    <w:rsid w:val="009121E5"/>
    <w:rPr>
      <w:caps/>
      <w:color w:val="9A0040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9121E5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121E5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9121E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9121E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121E5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21E5"/>
    <w:pPr>
      <w:pBdr>
        <w:top w:val="single" w:sz="4" w:space="10" w:color="FF388C" w:themeColor="accent1"/>
        <w:left w:val="single" w:sz="4" w:space="10" w:color="FF388C" w:themeColor="accent1"/>
      </w:pBdr>
      <w:spacing w:after="0"/>
      <w:ind w:left="1296" w:right="1152"/>
      <w:jc w:val="both"/>
    </w:pPr>
    <w:rPr>
      <w:i/>
      <w:iCs/>
      <w:color w:val="FF388C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21E5"/>
    <w:rPr>
      <w:i/>
      <w:iCs/>
      <w:color w:val="FF388C" w:themeColor="accent1"/>
      <w:sz w:val="20"/>
      <w:szCs w:val="20"/>
    </w:rPr>
  </w:style>
  <w:style w:type="character" w:styleId="nfasissutil">
    <w:name w:val="Subtle Emphasis"/>
    <w:uiPriority w:val="19"/>
    <w:qFormat/>
    <w:rsid w:val="009121E5"/>
    <w:rPr>
      <w:i/>
      <w:iCs/>
      <w:color w:val="9A0040" w:themeColor="accent1" w:themeShade="7F"/>
    </w:rPr>
  </w:style>
  <w:style w:type="character" w:styleId="nfasisintenso">
    <w:name w:val="Intense Emphasis"/>
    <w:uiPriority w:val="21"/>
    <w:qFormat/>
    <w:rsid w:val="009121E5"/>
    <w:rPr>
      <w:b/>
      <w:bCs/>
      <w:caps/>
      <w:color w:val="9A0040" w:themeColor="accent1" w:themeShade="7F"/>
      <w:spacing w:val="10"/>
    </w:rPr>
  </w:style>
  <w:style w:type="character" w:styleId="Referenciasutil">
    <w:name w:val="Subtle Reference"/>
    <w:uiPriority w:val="31"/>
    <w:qFormat/>
    <w:rsid w:val="009121E5"/>
    <w:rPr>
      <w:b/>
      <w:bCs/>
      <w:color w:val="FF388C" w:themeColor="accent1"/>
    </w:rPr>
  </w:style>
  <w:style w:type="character" w:styleId="Referenciaintensa">
    <w:name w:val="Intense Reference"/>
    <w:uiPriority w:val="32"/>
    <w:qFormat/>
    <w:rsid w:val="009121E5"/>
    <w:rPr>
      <w:b/>
      <w:bCs/>
      <w:i/>
      <w:iCs/>
      <w:caps/>
      <w:color w:val="FF388C" w:themeColor="accent1"/>
    </w:rPr>
  </w:style>
  <w:style w:type="character" w:styleId="Ttulodellibro">
    <w:name w:val="Book Title"/>
    <w:uiPriority w:val="33"/>
    <w:qFormat/>
    <w:rsid w:val="009121E5"/>
    <w:rPr>
      <w:b/>
      <w:bCs/>
      <w:i/>
      <w:iCs/>
      <w:spacing w:val="9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121E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615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2014-11-30T16:36:00Z</dcterms:created>
  <dcterms:modified xsi:type="dcterms:W3CDTF">2014-11-30T16:47:00Z</dcterms:modified>
</cp:coreProperties>
</file>